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Toc17362"/>
      <w:r>
        <w:rPr>
          <w:rFonts w:hint="eastAsia" w:ascii="宋体" w:hAnsi="宋体" w:cs="宋体"/>
          <w:b/>
          <w:sz w:val="28"/>
          <w:szCs w:val="28"/>
        </w:rPr>
        <w:t>一、采购清单及技术参数要求</w:t>
      </w:r>
    </w:p>
    <w:tbl>
      <w:tblPr>
        <w:tblStyle w:val="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00"/>
        <w:gridCol w:w="1146"/>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序号</w:t>
            </w:r>
          </w:p>
        </w:tc>
        <w:tc>
          <w:tcPr>
            <w:tcW w:w="1400"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产品名称</w:t>
            </w:r>
          </w:p>
        </w:tc>
        <w:tc>
          <w:tcPr>
            <w:tcW w:w="114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采购数量</w:t>
            </w:r>
          </w:p>
        </w:tc>
        <w:tc>
          <w:tcPr>
            <w:tcW w:w="6673"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94"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1</w:t>
            </w:r>
          </w:p>
        </w:tc>
        <w:tc>
          <w:tcPr>
            <w:tcW w:w="1400" w:type="dxa"/>
            <w:noWrap w:val="0"/>
            <w:vAlign w:val="center"/>
          </w:tcPr>
          <w:p>
            <w:pPr>
              <w:spacing w:line="360" w:lineRule="auto"/>
              <w:jc w:val="center"/>
              <w:rPr>
                <w:rFonts w:hint="eastAsia" w:ascii="宋体" w:hAnsi="宋体" w:eastAsia="宋体" w:cs="宋体"/>
                <w:b w:val="0"/>
                <w:bCs/>
                <w:szCs w:val="21"/>
                <w:highlight w:val="none"/>
                <w:lang w:eastAsia="zh-CN"/>
              </w:rPr>
            </w:pPr>
            <w:r>
              <w:rPr>
                <w:rFonts w:hint="eastAsia"/>
                <w:b w:val="0"/>
                <w:bCs/>
                <w:highlight w:val="none"/>
                <w:lang w:eastAsia="zh-CN"/>
              </w:rPr>
              <w:t>全自动数字远程病理细胞分析仪</w:t>
            </w:r>
          </w:p>
        </w:tc>
        <w:tc>
          <w:tcPr>
            <w:tcW w:w="1146" w:type="dxa"/>
            <w:noWrap w:val="0"/>
            <w:vAlign w:val="center"/>
          </w:tcPr>
          <w:p>
            <w:pPr>
              <w:spacing w:line="360" w:lineRule="auto"/>
              <w:jc w:val="center"/>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1台</w:t>
            </w:r>
          </w:p>
        </w:tc>
        <w:tc>
          <w:tcPr>
            <w:tcW w:w="6673" w:type="dxa"/>
            <w:noWrap w:val="0"/>
            <w:vAlign w:val="top"/>
          </w:tcPr>
          <w:p>
            <w:pPr>
              <w:numPr>
                <w:ilvl w:val="0"/>
                <w:numId w:val="1"/>
              </w:numPr>
              <w:rPr>
                <w:rFonts w:hint="eastAsia" w:ascii="宋体" w:hAnsi="宋体" w:eastAsia="宋体" w:cs="宋体"/>
              </w:rPr>
            </w:pPr>
            <w:r>
              <w:rPr>
                <w:rFonts w:hint="eastAsia" w:ascii="宋体" w:hAnsi="宋体" w:eastAsia="宋体" w:cs="宋体"/>
              </w:rPr>
              <w:t xml:space="preserve">显微扫描装置： </w:t>
            </w:r>
          </w:p>
          <w:p>
            <w:pPr>
              <w:ind w:firstLine="210" w:firstLineChars="100"/>
              <w:rPr>
                <w:rFonts w:hint="eastAsia" w:ascii="宋体" w:hAnsi="宋体" w:eastAsia="宋体" w:cs="宋体"/>
              </w:rPr>
            </w:pPr>
            <w:r>
              <w:rPr>
                <w:rFonts w:hint="eastAsia" w:ascii="宋体" w:hAnsi="宋体" w:eastAsia="宋体" w:cs="宋体"/>
              </w:rPr>
              <w:t>UIS(万能无限远)光学系统</w:t>
            </w:r>
          </w:p>
          <w:p>
            <w:pPr>
              <w:ind w:firstLine="210" w:firstLineChars="100"/>
              <w:rPr>
                <w:rFonts w:hint="eastAsia" w:ascii="宋体" w:hAnsi="宋体" w:eastAsia="宋体" w:cs="宋体"/>
              </w:rPr>
            </w:pPr>
            <w:r>
              <w:rPr>
                <w:rFonts w:hint="eastAsia" w:ascii="宋体" w:hAnsi="宋体" w:eastAsia="宋体" w:cs="宋体"/>
              </w:rPr>
              <w:t>无限远平场消色差物镜；</w:t>
            </w:r>
          </w:p>
          <w:p>
            <w:pPr>
              <w:ind w:firstLine="210" w:firstLineChars="100"/>
              <w:rPr>
                <w:rFonts w:hint="eastAsia" w:ascii="宋体" w:hAnsi="宋体" w:eastAsia="宋体" w:cs="宋体"/>
              </w:rPr>
            </w:pPr>
            <w:r>
              <w:rPr>
                <w:rFonts w:hint="eastAsia" w:ascii="宋体" w:hAnsi="宋体" w:eastAsia="宋体" w:cs="宋体"/>
              </w:rPr>
              <w:t>倍率≥10X，通量≥0.40</w:t>
            </w:r>
          </w:p>
          <w:p>
            <w:pPr>
              <w:ind w:firstLine="210" w:firstLineChars="100"/>
              <w:rPr>
                <w:rFonts w:hint="eastAsia" w:ascii="宋体" w:hAnsi="宋体" w:eastAsia="宋体" w:cs="宋体"/>
              </w:rPr>
            </w:pPr>
            <w:r>
              <w:rPr>
                <w:rFonts w:hint="eastAsia" w:ascii="宋体" w:hAnsi="宋体" w:eastAsia="宋体" w:cs="宋体"/>
              </w:rPr>
              <w:t>内置式投射科勒式照明</w:t>
            </w:r>
          </w:p>
          <w:p>
            <w:pPr>
              <w:ind w:firstLine="210" w:firstLineChars="100"/>
              <w:rPr>
                <w:rFonts w:hint="eastAsia" w:ascii="宋体" w:hAnsi="宋体" w:eastAsia="宋体" w:cs="宋体"/>
              </w:rPr>
            </w:pPr>
            <w:r>
              <w:rPr>
                <w:rFonts w:hint="eastAsia" w:ascii="宋体" w:hAnsi="宋体" w:eastAsia="宋体" w:cs="宋体"/>
              </w:rPr>
              <w:t>光路中间二分体装置</w:t>
            </w:r>
          </w:p>
          <w:p>
            <w:pPr>
              <w:ind w:firstLine="210" w:firstLineChars="100"/>
              <w:rPr>
                <w:rFonts w:hint="eastAsia" w:ascii="宋体" w:hAnsi="宋体" w:eastAsia="宋体" w:cs="宋体"/>
              </w:rPr>
            </w:pPr>
            <w:r>
              <w:rPr>
                <w:rFonts w:hint="eastAsia" w:ascii="宋体" w:hAnsi="宋体" w:eastAsia="宋体" w:cs="宋体"/>
              </w:rPr>
              <w:t>研究级光学显微镜</w:t>
            </w:r>
          </w:p>
          <w:p>
            <w:pPr>
              <w:numPr>
                <w:ilvl w:val="0"/>
                <w:numId w:val="1"/>
              </w:numPr>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系统平台</w:t>
            </w:r>
          </w:p>
          <w:p>
            <w:pPr>
              <w:rPr>
                <w:rFonts w:hint="eastAsia" w:ascii="宋体" w:hAnsi="宋体" w:eastAsia="宋体" w:cs="宋体"/>
              </w:rPr>
            </w:pPr>
            <w:r>
              <w:rPr>
                <w:rFonts w:hint="eastAsia" w:ascii="宋体" w:hAnsi="宋体" w:eastAsia="宋体" w:cs="宋体"/>
              </w:rPr>
              <w:t xml:space="preserve">  精度X/Y≤10 um</w:t>
            </w:r>
          </w:p>
          <w:p>
            <w:pPr>
              <w:rPr>
                <w:rFonts w:hint="eastAsia" w:ascii="宋体" w:hAnsi="宋体" w:eastAsia="宋体" w:cs="宋体"/>
              </w:rPr>
            </w:pPr>
            <w:r>
              <w:rPr>
                <w:rFonts w:hint="eastAsia" w:ascii="宋体" w:hAnsi="宋体" w:eastAsia="宋体" w:cs="宋体"/>
              </w:rPr>
              <w:t xml:space="preserve">  范围X/Y≥玻片全程</w:t>
            </w:r>
          </w:p>
          <w:p>
            <w:pPr>
              <w:rPr>
                <w:rFonts w:hint="eastAsia" w:ascii="宋体" w:hAnsi="宋体" w:eastAsia="宋体" w:cs="宋体"/>
              </w:rPr>
            </w:pPr>
            <w:r>
              <w:rPr>
                <w:rFonts w:hint="eastAsia" w:ascii="宋体" w:hAnsi="宋体" w:eastAsia="宋体" w:cs="宋体"/>
              </w:rPr>
              <w:t xml:space="preserve">  Z轴聚焦定位精度≤0.2um　</w:t>
            </w:r>
          </w:p>
          <w:p>
            <w:pPr>
              <w:rPr>
                <w:rFonts w:hint="eastAsia" w:ascii="宋体" w:hAnsi="宋体" w:eastAsia="宋体" w:cs="宋体"/>
              </w:rPr>
            </w:pPr>
            <w:r>
              <w:rPr>
                <w:rFonts w:hint="eastAsia" w:ascii="宋体" w:hAnsi="宋体" w:eastAsia="宋体" w:cs="宋体"/>
              </w:rPr>
              <w:t xml:space="preserve">  范围Z≥显微镜全程</w:t>
            </w:r>
          </w:p>
          <w:p>
            <w:pPr>
              <w:numPr>
                <w:ilvl w:val="0"/>
                <w:numId w:val="1"/>
              </w:numPr>
              <w:rPr>
                <w:rFonts w:hint="eastAsia" w:ascii="宋体" w:hAnsi="宋体" w:eastAsia="宋体" w:cs="宋体"/>
              </w:rPr>
            </w:pPr>
            <w:r>
              <w:rPr>
                <w:rFonts w:hint="eastAsia" w:ascii="宋体" w:hAnsi="宋体" w:eastAsia="宋体" w:cs="宋体"/>
              </w:rPr>
              <w:t>图像采集系统</w:t>
            </w:r>
          </w:p>
          <w:p>
            <w:pPr>
              <w:rPr>
                <w:rFonts w:hint="eastAsia" w:ascii="宋体" w:hAnsi="宋体" w:eastAsia="宋体" w:cs="宋体"/>
              </w:rPr>
            </w:pPr>
            <w:r>
              <w:rPr>
                <w:rFonts w:hint="eastAsia" w:ascii="宋体" w:hAnsi="宋体" w:eastAsia="宋体" w:cs="宋体"/>
              </w:rPr>
              <w:t xml:space="preserve">   玻片装载量：≥4片（玻片槽自动送片）</w:t>
            </w:r>
          </w:p>
          <w:p>
            <w:pPr>
              <w:rPr>
                <w:rFonts w:hint="eastAsia" w:ascii="宋体" w:hAnsi="宋体" w:eastAsia="宋体" w:cs="宋体"/>
              </w:rPr>
            </w:pPr>
            <w:r>
              <w:rPr>
                <w:rFonts w:hint="eastAsia" w:ascii="宋体" w:hAnsi="宋体" w:eastAsia="宋体" w:cs="宋体"/>
              </w:rPr>
              <w:t xml:space="preserve">   专业黑白CCD，1/3inch(4:3),像素分辨率≥200万、像素大小≤4.4μm×4.4μm</w:t>
            </w:r>
          </w:p>
          <w:p>
            <w:pPr>
              <w:rPr>
                <w:rFonts w:hint="eastAsia" w:ascii="宋体" w:hAnsi="宋体" w:eastAsia="宋体" w:cs="宋体"/>
              </w:rPr>
            </w:pPr>
            <w:r>
              <w:rPr>
                <w:rFonts w:hint="eastAsia" w:ascii="宋体" w:hAnsi="宋体" w:eastAsia="宋体" w:cs="宋体"/>
              </w:rPr>
              <w:t xml:space="preserve">   专业彩色CCD，1/3inch(4:3),像素分辨率≥200万、像素大小≤4.4μm×4.4μm</w:t>
            </w:r>
          </w:p>
          <w:p>
            <w:pPr>
              <w:rPr>
                <w:rFonts w:hint="eastAsia" w:ascii="宋体" w:hAnsi="宋体" w:eastAsia="宋体" w:cs="宋体"/>
              </w:rPr>
            </w:pPr>
            <w:r>
              <w:rPr>
                <w:rFonts w:hint="eastAsia" w:ascii="宋体" w:hAnsi="宋体" w:eastAsia="宋体" w:cs="宋体"/>
              </w:rPr>
              <w:t xml:space="preserve">   双研究级分辨率摄像，保证成像精度，实现定量定性分析</w:t>
            </w:r>
          </w:p>
          <w:p>
            <w:pPr>
              <w:numPr>
                <w:ilvl w:val="0"/>
                <w:numId w:val="1"/>
              </w:numPr>
              <w:rPr>
                <w:rFonts w:hint="eastAsia" w:ascii="宋体" w:hAnsi="宋体" w:eastAsia="宋体" w:cs="宋体"/>
                <w:b/>
                <w:bCs/>
                <w:u w:val="single"/>
              </w:rPr>
            </w:pPr>
            <w:r>
              <w:rPr>
                <w:rFonts w:hint="eastAsia" w:ascii="宋体" w:hAnsi="宋体" w:eastAsia="宋体" w:cs="宋体"/>
              </w:rPr>
              <w:t>▲</w:t>
            </w:r>
            <w:r>
              <w:rPr>
                <w:rFonts w:hint="eastAsia" w:ascii="宋体" w:hAnsi="宋体" w:eastAsia="宋体" w:cs="宋体"/>
                <w:b/>
                <w:bCs/>
              </w:rPr>
              <w:t>软件系统</w:t>
            </w:r>
            <w:r>
              <w:rPr>
                <w:rFonts w:hint="eastAsia" w:ascii="宋体" w:hAnsi="宋体" w:eastAsia="宋体" w:cs="宋体"/>
              </w:rPr>
              <w:t>：可用于肿瘤早期检测的自动细胞学显微图像分析软件，全自动DNA定量分析系统。</w:t>
            </w:r>
          </w:p>
          <w:p>
            <w:pPr>
              <w:numPr>
                <w:ilvl w:val="0"/>
                <w:numId w:val="1"/>
              </w:numPr>
              <w:rPr>
                <w:rFonts w:hint="eastAsia" w:ascii="宋体" w:hAnsi="宋体" w:eastAsia="宋体" w:cs="宋体"/>
              </w:rPr>
            </w:pPr>
            <w:r>
              <w:rPr>
                <w:rFonts w:hint="eastAsia" w:ascii="宋体" w:hAnsi="宋体" w:eastAsia="宋体" w:cs="宋体"/>
              </w:rPr>
              <w:t xml:space="preserve">工作原理：可对细胞核的形态、纹理、密度等参数进行综合智能分析，将扫描记录到的所有细胞进行分类，并计算细胞核的DNA含量，得出细胞核DNA含量-细胞数量的直方图及DNA含量-细胞面积的分布图，并确定是否有病变细胞及其所占比例，可根据此发现早期癌或癌前病变，是反映病变及其恶性程度的特异性指征。 </w:t>
            </w:r>
          </w:p>
          <w:p>
            <w:pPr>
              <w:numPr>
                <w:ilvl w:val="0"/>
                <w:numId w:val="1"/>
              </w:numPr>
              <w:rPr>
                <w:rFonts w:hint="eastAsia" w:ascii="宋体" w:hAnsi="宋体" w:eastAsia="宋体" w:cs="宋体"/>
              </w:rPr>
            </w:pPr>
            <w:r>
              <w:rPr>
                <w:rFonts w:hint="eastAsia" w:ascii="宋体" w:hAnsi="宋体" w:eastAsia="宋体" w:cs="宋体"/>
              </w:rPr>
              <w:t>适用范围：宫颈刷取细胞样本、胸腹水、痰液、尿液、手术残端印片、口腔刷取细胞样本、食道拉网细胞样本的检测</w:t>
            </w:r>
          </w:p>
          <w:p>
            <w:pPr>
              <w:numPr>
                <w:ilvl w:val="0"/>
                <w:numId w:val="1"/>
              </w:numPr>
              <w:rPr>
                <w:rFonts w:hint="eastAsia" w:ascii="宋体" w:hAnsi="宋体" w:eastAsia="宋体" w:cs="宋体"/>
              </w:rPr>
            </w:pPr>
            <w:r>
              <w:rPr>
                <w:rFonts w:hint="eastAsia" w:ascii="宋体" w:hAnsi="宋体" w:eastAsia="宋体" w:cs="宋体"/>
              </w:rPr>
              <w:t>检测方式：可根据需要支持多种细胞标本的定性及定量检测，如涂片、甩片、滴片等；可用于宫颈样本、胸腹水样本、手术残端印片样本等的分析处理。</w:t>
            </w:r>
          </w:p>
          <w:p>
            <w:pPr>
              <w:numPr>
                <w:ilvl w:val="0"/>
                <w:numId w:val="1"/>
              </w:numPr>
              <w:rPr>
                <w:rFonts w:hint="eastAsia" w:ascii="宋体" w:hAnsi="宋体" w:eastAsia="宋体" w:cs="宋体"/>
                <w:b/>
                <w:bCs/>
              </w:rPr>
            </w:pPr>
            <w:r>
              <w:rPr>
                <w:rFonts w:hint="eastAsia" w:ascii="宋体" w:hAnsi="宋体" w:eastAsia="宋体" w:cs="宋体"/>
              </w:rPr>
              <w:t>▲</w:t>
            </w:r>
            <w:r>
              <w:rPr>
                <w:rFonts w:hint="eastAsia" w:ascii="宋体" w:hAnsi="宋体" w:eastAsia="宋体" w:cs="宋体"/>
                <w:b/>
                <w:bCs/>
              </w:rPr>
              <w:t>制片方式：可采用多种制片方式，包含离心式、沉降式、膜式等。</w:t>
            </w:r>
          </w:p>
          <w:p>
            <w:pPr>
              <w:numPr>
                <w:ilvl w:val="0"/>
                <w:numId w:val="1"/>
              </w:numPr>
              <w:rPr>
                <w:rFonts w:hint="eastAsia" w:ascii="宋体" w:hAnsi="宋体" w:eastAsia="宋体" w:cs="宋体"/>
              </w:rPr>
            </w:pPr>
            <w:r>
              <w:rPr>
                <w:rFonts w:hint="eastAsia" w:ascii="宋体" w:hAnsi="宋体" w:eastAsia="宋体" w:cs="宋体"/>
              </w:rPr>
              <w:t>扫描设置：</w:t>
            </w:r>
            <w:r>
              <w:rPr>
                <w:rFonts w:hint="eastAsia" w:ascii="宋体" w:hAnsi="宋体" w:eastAsia="宋体" w:cs="宋体"/>
                <w:b/>
                <w:bCs/>
              </w:rPr>
              <w:t>全视野</w:t>
            </w:r>
            <w:r>
              <w:rPr>
                <w:rFonts w:hint="eastAsia" w:ascii="宋体" w:hAnsi="宋体" w:eastAsia="宋体" w:cs="宋体"/>
              </w:rPr>
              <w:t>扫描时间≤5min，也可根据需要进行扫描参数设置（扫描区域、扫描细胞数量、扫描时间等）</w:t>
            </w:r>
          </w:p>
          <w:p>
            <w:pPr>
              <w:numPr>
                <w:ilvl w:val="0"/>
                <w:numId w:val="1"/>
              </w:numPr>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扫描系统：</w:t>
            </w:r>
            <w:r>
              <w:rPr>
                <w:rFonts w:hint="eastAsia" w:ascii="宋体" w:hAnsi="宋体" w:eastAsia="宋体" w:cs="宋体"/>
              </w:rPr>
              <w:t>扫描过程自动化，实现自动控制、自动聚焦、自动生成图文一体报告</w:t>
            </w:r>
          </w:p>
          <w:p>
            <w:pPr>
              <w:numPr>
                <w:ilvl w:val="0"/>
                <w:numId w:val="1"/>
              </w:numPr>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分析系统：自动分类上皮细胞，淋巴细胞，异倍体细胞等。</w:t>
            </w:r>
          </w:p>
          <w:p>
            <w:pPr>
              <w:numPr>
                <w:ilvl w:val="0"/>
                <w:numId w:val="1"/>
              </w:numPr>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质量控制</w:t>
            </w:r>
            <w:r>
              <w:rPr>
                <w:rFonts w:hint="eastAsia" w:ascii="宋体" w:hAnsi="宋体" w:eastAsia="宋体" w:cs="宋体"/>
              </w:rPr>
              <w:t>：</w:t>
            </w:r>
            <w:r>
              <w:rPr>
                <w:rFonts w:hint="eastAsia" w:ascii="宋体" w:hAnsi="宋体" w:eastAsia="宋体" w:cs="宋体"/>
                <w:color w:val="000000"/>
              </w:rPr>
              <w:t>可借助于互联网将扫描的原始数据远程传输至云平台由专家会诊</w:t>
            </w:r>
            <w:r>
              <w:rPr>
                <w:rFonts w:hint="eastAsia" w:ascii="宋体" w:hAnsi="宋体" w:eastAsia="宋体" w:cs="宋体"/>
              </w:rPr>
              <w:t>。</w:t>
            </w:r>
          </w:p>
          <w:p>
            <w:pPr>
              <w:rPr>
                <w:rFonts w:hint="eastAsia" w:ascii="宋体" w:hAnsi="宋体" w:eastAsia="宋体" w:cs="宋体"/>
                <w:b/>
                <w:bCs/>
                <w:color w:val="000000"/>
                <w:kern w:val="0"/>
                <w:sz w:val="20"/>
                <w:szCs w:val="20"/>
              </w:rPr>
            </w:pPr>
            <w:r>
              <w:rPr>
                <w:rFonts w:hint="eastAsia" w:ascii="宋体" w:hAnsi="宋体" w:eastAsia="宋体" w:cs="宋体"/>
                <w:b/>
                <w:bCs/>
              </w:rPr>
              <w:t>13、</w:t>
            </w:r>
            <w:r>
              <w:rPr>
                <w:rFonts w:hint="eastAsia" w:ascii="宋体" w:hAnsi="宋体" w:eastAsia="宋体" w:cs="宋体"/>
              </w:rPr>
              <w:t>★</w:t>
            </w:r>
            <w:r>
              <w:rPr>
                <w:rFonts w:hint="eastAsia" w:ascii="宋体" w:hAnsi="宋体" w:eastAsia="宋体" w:cs="宋体"/>
                <w:b/>
                <w:bCs/>
              </w:rPr>
              <w:t>产品特性：在一次扫描中，可对同一细胞样本同时进行DNA含量测定和细胞学形态分析，</w:t>
            </w:r>
            <w:r>
              <w:rPr>
                <w:rFonts w:hint="eastAsia" w:ascii="宋体" w:hAnsi="宋体" w:eastAsia="宋体" w:cs="宋体"/>
                <w:b/>
                <w:bCs/>
                <w:color w:val="000000"/>
                <w:kern w:val="0"/>
                <w:sz w:val="20"/>
                <w:szCs w:val="20"/>
              </w:rPr>
              <w:t>出具DNA倍体+TCT双项报告</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14、报告系统：细胞形态分析（TCT）报告，细胞DNA定量测定，含细胞总数、上皮细胞、淋巴细胞、异倍体细胞。</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15、报告储存：所有的诊断报告将储存在数据库中，便于查阅、复核和检索。</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r>
              <w:rPr>
                <w:rFonts w:hint="eastAsia" w:ascii="宋体" w:hAnsi="宋体" w:eastAsia="宋体" w:cs="宋体"/>
              </w:rPr>
              <w:t>★</w:t>
            </w:r>
            <w:r>
              <w:rPr>
                <w:rFonts w:hint="eastAsia" w:ascii="宋体" w:hAnsi="宋体" w:eastAsia="宋体" w:cs="宋体"/>
                <w:b/>
                <w:bCs/>
                <w:color w:val="000000"/>
                <w:kern w:val="0"/>
                <w:sz w:val="20"/>
                <w:szCs w:val="20"/>
              </w:rPr>
              <w:t>耗材</w:t>
            </w:r>
            <w:r>
              <w:rPr>
                <w:rFonts w:hint="eastAsia" w:ascii="宋体" w:hAnsi="宋体" w:eastAsia="宋体" w:cs="宋体"/>
                <w:b/>
                <w:bCs/>
              </w:rPr>
              <w:t>:</w:t>
            </w:r>
            <w:r>
              <w:rPr>
                <w:rFonts w:hint="eastAsia" w:ascii="宋体" w:hAnsi="宋体" w:eastAsia="宋体" w:cs="宋体"/>
                <w:b/>
                <w:bCs/>
                <w:color w:val="000000"/>
                <w:kern w:val="0"/>
                <w:sz w:val="20"/>
                <w:szCs w:val="20"/>
              </w:rPr>
              <w:t>配套耗材应在医疗耗材阳光采购平台挂网</w:t>
            </w:r>
            <w:r>
              <w:rPr>
                <w:rFonts w:hint="eastAsia" w:ascii="宋体" w:hAnsi="宋体" w:eastAsia="宋体" w:cs="宋体"/>
                <w:color w:val="000000"/>
                <w:kern w:val="0"/>
                <w:sz w:val="20"/>
                <w:szCs w:val="20"/>
              </w:rPr>
              <w:t>。（提供挂网流水号、耗材清单及人均价格）</w:t>
            </w:r>
          </w:p>
          <w:p>
            <w:pPr>
              <w:rPr>
                <w:rFonts w:hint="eastAsia" w:ascii="宋体" w:hAnsi="宋体" w:eastAsia="宋体" w:cs="宋体"/>
              </w:rPr>
            </w:pPr>
          </w:p>
          <w:p>
            <w:pPr>
              <w:spacing w:line="360" w:lineRule="auto"/>
              <w:jc w:val="left"/>
              <w:rPr>
                <w:rFonts w:hint="eastAsia" w:ascii="宋体" w:hAnsi="宋体" w:eastAsia="宋体" w:cs="宋体"/>
                <w:b w:val="0"/>
                <w:bCs/>
                <w:highlight w:val="none"/>
                <w:lang w:eastAsia="zh-CN"/>
              </w:rPr>
            </w:pPr>
            <w:r>
              <w:rPr>
                <w:rFonts w:hint="eastAsia" w:ascii="宋体" w:hAnsi="宋体" w:eastAsia="宋体" w:cs="宋体"/>
                <w:b w:val="0"/>
                <w:bCs/>
                <w:highlight w:val="none"/>
                <w:lang w:eastAsia="zh-CN"/>
              </w:rPr>
              <w:t>备注：“★”为实质性参数，“▲”为重要参数。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94"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2</w:t>
            </w:r>
          </w:p>
        </w:tc>
        <w:tc>
          <w:tcPr>
            <w:tcW w:w="2546" w:type="dxa"/>
            <w:gridSpan w:val="2"/>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设备用途描述</w:t>
            </w:r>
          </w:p>
        </w:tc>
        <w:tc>
          <w:tcPr>
            <w:tcW w:w="6673" w:type="dxa"/>
            <w:noWrap w:val="0"/>
            <w:vAlign w:val="top"/>
          </w:tcPr>
          <w:p>
            <w:pPr>
              <w:spacing w:line="360" w:lineRule="auto"/>
              <w:jc w:val="left"/>
              <w:rPr>
                <w:rFonts w:hint="eastAsia" w:ascii="宋体" w:hAnsi="宋体" w:cs="宋体"/>
                <w:bCs/>
                <w:szCs w:val="21"/>
                <w:highlight w:val="none"/>
                <w:lang w:val="en-US" w:eastAsia="zh-CN"/>
              </w:rPr>
            </w:pPr>
            <w:r>
              <w:rPr>
                <w:rFonts w:hint="eastAsia" w:ascii="宋体" w:hAnsi="宋体"/>
              </w:rPr>
              <w:t>用于宫颈良恶性肿瘤细胞的鉴别诊断，通过宫颈细胞DNA倍体分析技术，能更早更精确的发现癌细胞变异的征兆和趋势，为临床患者提供早期癌及癌前病变的精准检测</w:t>
            </w: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★响应文件里提供技术支持资料</w:t>
      </w:r>
      <w:r>
        <w:rPr>
          <w:rFonts w:hint="eastAsia" w:ascii="宋体" w:hAnsi="宋体" w:cs="宋体"/>
          <w:color w:val="auto"/>
          <w:sz w:val="24"/>
          <w:lang w:eastAsia="zh-CN"/>
        </w:rPr>
        <w:t>，</w:t>
      </w:r>
      <w:r>
        <w:rPr>
          <w:rFonts w:hint="eastAsia" w:ascii="宋体" w:hAnsi="宋体" w:cs="宋体"/>
          <w:color w:val="auto"/>
          <w:sz w:val="24"/>
        </w:rPr>
        <w:t>技术支持资料指：投标产品生产厂家公开发布的印刷资料、说明书或检测机构出具的检测报告或者白皮书或者证明具备该功能的证书等加盖供应商公章。</w:t>
      </w:r>
      <w:r>
        <w:rPr>
          <w:rFonts w:hint="eastAsia" w:ascii="宋体" w:hAnsi="宋体" w:cs="宋体"/>
          <w:b/>
          <w:bCs/>
          <w:color w:val="auto"/>
          <w:sz w:val="24"/>
          <w:lang w:eastAsia="zh-CN"/>
        </w:rPr>
        <w:t>（实质性要求）</w:t>
      </w:r>
    </w:p>
    <w:p>
      <w:pPr>
        <w:spacing w:line="360" w:lineRule="auto"/>
      </w:pPr>
      <w:r>
        <w:rPr>
          <w:rFonts w:hint="eastAsia"/>
          <w:b/>
        </w:rPr>
        <w:t xml:space="preserve">  </w:t>
      </w:r>
      <w:r>
        <w:rPr>
          <w:rFonts w:hint="eastAsia" w:ascii="宋体" w:hAnsi="宋体" w:cs="宋体"/>
          <w:b/>
          <w:sz w:val="28"/>
          <w:szCs w:val="28"/>
        </w:rPr>
        <w:t>二、商务及其他要求</w:t>
      </w:r>
    </w:p>
    <w:p>
      <w:pPr>
        <w:spacing w:line="360" w:lineRule="auto"/>
        <w:ind w:firstLine="482" w:firstLineChars="200"/>
        <w:rPr>
          <w:rFonts w:hint="eastAsia" w:ascii="宋体" w:hAnsi="宋体" w:cs="宋体"/>
          <w:color w:val="auto"/>
          <w:sz w:val="24"/>
          <w:lang w:eastAsia="zh-CN"/>
        </w:rPr>
      </w:pPr>
      <w:r>
        <w:rPr>
          <w:rFonts w:hint="eastAsia" w:ascii="宋体" w:hAnsi="宋体" w:eastAsia="宋体" w:cs="宋体"/>
          <w:b/>
          <w:bCs/>
          <w:color w:val="auto"/>
          <w:sz w:val="24"/>
          <w:lang w:val="en-US" w:eastAsia="zh-CN"/>
        </w:rPr>
        <w:t>1、</w:t>
      </w:r>
      <w:r>
        <w:rPr>
          <w:rFonts w:hint="eastAsia" w:ascii="宋体" w:hAnsi="宋体" w:cs="宋体"/>
          <w:b/>
          <w:bCs/>
          <w:color w:val="auto"/>
          <w:sz w:val="24"/>
        </w:rPr>
        <w:t>交付时间：</w:t>
      </w:r>
      <w:r>
        <w:rPr>
          <w:rFonts w:hint="eastAsia" w:ascii="宋体" w:hAnsi="宋体" w:cs="宋体"/>
          <w:color w:val="auto"/>
          <w:sz w:val="24"/>
        </w:rPr>
        <w:t>合同签订生效后</w:t>
      </w:r>
      <w:r>
        <w:rPr>
          <w:rFonts w:hint="eastAsia" w:ascii="宋体" w:hAnsi="宋体" w:cs="宋体"/>
          <w:color w:val="auto"/>
          <w:sz w:val="24"/>
          <w:lang w:val="en-US" w:eastAsia="zh-CN"/>
        </w:rPr>
        <w:t>30</w:t>
      </w:r>
      <w:r>
        <w:rPr>
          <w:rFonts w:hint="eastAsia" w:ascii="宋体" w:hAnsi="宋体" w:cs="宋体"/>
          <w:color w:val="auto"/>
          <w:sz w:val="24"/>
        </w:rPr>
        <w:t>日内完成</w:t>
      </w:r>
      <w:r>
        <w:rPr>
          <w:rFonts w:hint="eastAsia" w:ascii="宋体" w:hAnsi="宋体" w:cs="宋体"/>
          <w:color w:val="auto"/>
          <w:sz w:val="24"/>
          <w:lang w:eastAsia="zh-CN"/>
        </w:rPr>
        <w:t>。</w:t>
      </w:r>
    </w:p>
    <w:p>
      <w:pPr>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val="en-US" w:eastAsia="zh-CN"/>
        </w:rPr>
        <w:t>2</w:t>
      </w:r>
      <w:r>
        <w:rPr>
          <w:rFonts w:hint="eastAsia" w:ascii="宋体" w:hAnsi="宋体" w:cs="宋体"/>
          <w:b/>
          <w:bCs/>
          <w:color w:val="auto"/>
          <w:sz w:val="24"/>
        </w:rPr>
        <w:t>、</w:t>
      </w:r>
      <w:r>
        <w:rPr>
          <w:rFonts w:hint="eastAsia" w:ascii="宋体" w:hAnsi="宋体" w:cs="宋体"/>
          <w:b/>
          <w:bCs/>
          <w:color w:val="auto"/>
          <w:sz w:val="24"/>
          <w:lang w:eastAsia="zh-CN"/>
        </w:rPr>
        <w:t>其他要求：</w:t>
      </w:r>
    </w:p>
    <w:p>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整机免费保修不小于二年，终身维修；省内有售后服务点（提供承诺书）；大修期间提供备用机（提供承诺书）；设备生产商或产品通过相关质量管理体系认证（提供证明材料）。</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结算付款方式：</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在完成货物安装、调试并正常运行满一周试用期，</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给予办理验收，验收合格后，一季度内付总额的80%，满一年付总额的10%，剩余10%满两年后若无重大质量问题一次性付清。</w:t>
      </w:r>
    </w:p>
    <w:p>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4</w:t>
      </w:r>
      <w:r>
        <w:rPr>
          <w:rFonts w:hint="eastAsia" w:ascii="宋体" w:hAnsi="宋体" w:cs="宋体"/>
          <w:b/>
          <w:bCs/>
          <w:sz w:val="24"/>
        </w:rPr>
        <w:t>、未尽事宜</w:t>
      </w:r>
      <w:r>
        <w:rPr>
          <w:rFonts w:hint="eastAsia" w:ascii="宋体" w:hAnsi="宋体" w:cs="宋体"/>
          <w:b/>
          <w:bCs/>
          <w:sz w:val="24"/>
          <w:lang w:eastAsia="zh-CN"/>
        </w:rPr>
        <w:t>：</w:t>
      </w:r>
      <w:r>
        <w:rPr>
          <w:rFonts w:hint="eastAsia" w:ascii="宋体" w:hAnsi="宋体" w:cs="宋体"/>
          <w:sz w:val="24"/>
        </w:rPr>
        <w:t>合同双方约定为准。</w:t>
      </w:r>
    </w:p>
    <w:bookmarkEnd w:id="0"/>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1CCB0"/>
    <w:multiLevelType w:val="singleLevel"/>
    <w:tmpl w:val="BA41CC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Y2Y3ODc4NGI5ZjkxOGRlYjIxZjUxZGU2NDg2OWYifQ=="/>
  </w:docVars>
  <w:rsids>
    <w:rsidRoot w:val="2FCE11D0"/>
    <w:rsid w:val="2FCE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2022-11-02T07:47:00Z</dcterms:created>
  <dc:creator>Administrator</dc:creator>
  <cp:lastModifiedBy>Administrator</cp:lastModifiedBy>
  <dcterms:modified xsi:type="dcterms:W3CDTF">2022-11-02T07:47:55Z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D31316852A0C42A5960BC3F7CE67D000</vt:lpwstr>
  </property>
</Properties>
</file>