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8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24"/>
        <w:gridCol w:w="1245"/>
        <w:gridCol w:w="4332"/>
        <w:gridCol w:w="1743"/>
        <w:gridCol w:w="9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52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ascii="微软雅黑" w:hAnsi="微软雅黑" w:eastAsia="微软雅黑" w:cs="微软雅黑"/>
                <w:sz w:val="24"/>
                <w:szCs w:val="24"/>
              </w:rPr>
            </w:pPr>
            <w:r>
              <w:rPr>
                <w:rStyle w:val="5"/>
                <w:rFonts w:hint="eastAsia" w:ascii="微软雅黑" w:hAnsi="微软雅黑" w:eastAsia="微软雅黑" w:cs="微软雅黑"/>
                <w:b/>
                <w:bCs/>
                <w:i w:val="0"/>
                <w:iCs w:val="0"/>
                <w:caps w:val="0"/>
                <w:color w:val="000000"/>
                <w:spacing w:val="0"/>
                <w:sz w:val="24"/>
                <w:szCs w:val="24"/>
                <w:bdr w:val="none" w:color="auto" w:sz="0" w:space="0"/>
              </w:rPr>
              <w:t>包号</w:t>
            </w:r>
          </w:p>
        </w:tc>
        <w:tc>
          <w:tcPr>
            <w:tcW w:w="9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Style w:val="5"/>
                <w:rFonts w:hint="eastAsia" w:ascii="微软雅黑" w:hAnsi="微软雅黑" w:eastAsia="微软雅黑" w:cs="微软雅黑"/>
                <w:b/>
                <w:bCs/>
                <w:i w:val="0"/>
                <w:iCs w:val="0"/>
                <w:caps w:val="0"/>
                <w:color w:val="000000"/>
                <w:spacing w:val="0"/>
                <w:sz w:val="24"/>
                <w:szCs w:val="24"/>
                <w:bdr w:val="none" w:color="auto" w:sz="0" w:space="0"/>
              </w:rPr>
              <w:t>产品名称</w:t>
            </w:r>
          </w:p>
        </w:tc>
        <w:tc>
          <w:tcPr>
            <w:tcW w:w="450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Style w:val="5"/>
                <w:rFonts w:hint="eastAsia" w:ascii="微软雅黑" w:hAnsi="微软雅黑" w:eastAsia="微软雅黑" w:cs="微软雅黑"/>
                <w:b/>
                <w:bCs/>
                <w:i w:val="0"/>
                <w:iCs w:val="0"/>
                <w:caps w:val="0"/>
                <w:color w:val="000000"/>
                <w:spacing w:val="0"/>
                <w:sz w:val="24"/>
                <w:szCs w:val="24"/>
                <w:bdr w:val="none" w:color="auto" w:sz="0" w:space="0"/>
              </w:rPr>
              <w:t>产品用途、规格及要求</w:t>
            </w:r>
          </w:p>
        </w:tc>
        <w:tc>
          <w:tcPr>
            <w:tcW w:w="18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Style w:val="5"/>
                <w:rFonts w:hint="eastAsia" w:ascii="微软雅黑" w:hAnsi="微软雅黑" w:eastAsia="微软雅黑" w:cs="微软雅黑"/>
                <w:b/>
                <w:bCs/>
                <w:i w:val="0"/>
                <w:iCs w:val="0"/>
                <w:caps w:val="0"/>
                <w:color w:val="000000"/>
                <w:spacing w:val="0"/>
                <w:sz w:val="24"/>
                <w:szCs w:val="24"/>
                <w:bdr w:val="none" w:color="auto" w:sz="0" w:space="0"/>
              </w:rPr>
              <w:t>商务要求</w:t>
            </w:r>
          </w:p>
        </w:tc>
        <w:tc>
          <w:tcPr>
            <w:tcW w:w="102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Style w:val="5"/>
                <w:rFonts w:hint="eastAsia" w:ascii="微软雅黑" w:hAnsi="微软雅黑" w:eastAsia="微软雅黑" w:cs="微软雅黑"/>
                <w:b/>
                <w:bCs/>
                <w:i w:val="0"/>
                <w:iCs w:val="0"/>
                <w:caps w:val="0"/>
                <w:color w:val="000000"/>
                <w:spacing w:val="0"/>
                <w:sz w:val="24"/>
                <w:szCs w:val="24"/>
                <w:bdr w:val="none" w:color="auto" w:sz="0" w:space="0"/>
              </w:rPr>
              <w:t>使用科室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97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Style w:val="5"/>
                <w:rFonts w:hint="eastAsia" w:ascii="微软雅黑" w:hAnsi="微软雅黑" w:eastAsia="微软雅黑" w:cs="微软雅黑"/>
                <w:b/>
                <w:bCs/>
                <w:i w:val="0"/>
                <w:iCs w:val="0"/>
                <w:caps w:val="0"/>
                <w:color w:val="000000"/>
                <w:spacing w:val="0"/>
                <w:sz w:val="24"/>
                <w:szCs w:val="24"/>
                <w:bdr w:val="none" w:color="auto" w:sz="0" w:space="0"/>
              </w:rPr>
              <w:t>1</w:t>
            </w:r>
          </w:p>
        </w:tc>
        <w:tc>
          <w:tcPr>
            <w:tcW w:w="99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rPr>
              <w:t>真菌药敏检测试剂</w:t>
            </w:r>
          </w:p>
        </w:tc>
        <w:tc>
          <w:tcPr>
            <w:tcW w:w="45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rPr>
              <w:t>用于念珠菌等真菌体外药物敏感性测定，作为临床抗真菌药物使用依据。</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建议规格是10或20测试/盒。</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要求为价格不高于绵阳物价；相关试剂需在四川省内或市内三甲医院成熟使用的；可同时检测包含阿尼芬净、卡泊芬净、米卡芬净、两性霉素B、氟康唑、伊曲康唑、伏立康唑、泊沙康唑、氟胞嘧啶、制霉菌素等抗真菌药物；能提供主试剂开展检查所需所有配套试剂（质控品、校准品等）。</w:t>
            </w:r>
          </w:p>
        </w:tc>
        <w:tc>
          <w:tcPr>
            <w:tcW w:w="18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rPr>
              <w:t>为四川医保公共服务网上《药品和医用耗材招采管理系统》挂网的产品。</w:t>
            </w:r>
          </w:p>
        </w:tc>
        <w:tc>
          <w:tcPr>
            <w:tcW w:w="102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5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Style w:val="5"/>
                <w:rFonts w:hint="eastAsia" w:ascii="微软雅黑" w:hAnsi="微软雅黑" w:eastAsia="微软雅黑" w:cs="微软雅黑"/>
                <w:b/>
                <w:bCs/>
                <w:i w:val="0"/>
                <w:iCs w:val="0"/>
                <w:caps w:val="0"/>
                <w:color w:val="000000"/>
                <w:spacing w:val="0"/>
                <w:sz w:val="24"/>
                <w:szCs w:val="24"/>
                <w:bdr w:val="none" w:color="auto" w:sz="0" w:space="0"/>
              </w:rPr>
              <w:t>2</w:t>
            </w:r>
          </w:p>
        </w:tc>
        <w:tc>
          <w:tcPr>
            <w:tcW w:w="99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rPr>
              <w:t>HTM培养基</w:t>
            </w:r>
          </w:p>
        </w:tc>
        <w:tc>
          <w:tcPr>
            <w:tcW w:w="45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rPr>
              <w:t>用于流感嗜血杆菌纸片扩散法体外药物敏感性测定，作为抗生素使用依据。</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建议规格是10或20块/包。</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要求为价格不高于绵阳物价；相关试剂需在四川省内或市内三甲医院成熟使用的。</w:t>
            </w:r>
          </w:p>
        </w:tc>
        <w:tc>
          <w:tcPr>
            <w:tcW w:w="18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rPr>
              <w:t>为四川医保公共服务网上《药品和医用耗材招采管理系统》挂网的产品。</w:t>
            </w:r>
          </w:p>
        </w:tc>
        <w:tc>
          <w:tcPr>
            <w:tcW w:w="102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Style w:val="5"/>
                <w:rFonts w:hint="eastAsia" w:ascii="微软雅黑" w:hAnsi="微软雅黑" w:eastAsia="微软雅黑" w:cs="微软雅黑"/>
                <w:b/>
                <w:bCs/>
                <w:i w:val="0"/>
                <w:iCs w:val="0"/>
                <w:caps w:val="0"/>
                <w:color w:val="000000"/>
                <w:spacing w:val="0"/>
                <w:sz w:val="24"/>
                <w:szCs w:val="24"/>
                <w:bdr w:val="none" w:color="auto" w:sz="0" w:space="0"/>
              </w:rPr>
              <w:t>3</w:t>
            </w:r>
          </w:p>
        </w:tc>
        <w:tc>
          <w:tcPr>
            <w:tcW w:w="99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rPr>
              <w:t>MH血琼脂培养基</w:t>
            </w:r>
          </w:p>
        </w:tc>
        <w:tc>
          <w:tcPr>
            <w:tcW w:w="45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rPr>
              <w:t>用于链球菌等纸片扩散法体外药物敏感性测定，作为临床抗生素使用依据。</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建议规格是10或20块/包。</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要求为价格不高于绵阳物价；相关试剂需在四川省内或市内三甲医院成熟使用的。</w:t>
            </w:r>
          </w:p>
        </w:tc>
        <w:tc>
          <w:tcPr>
            <w:tcW w:w="18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rPr>
              <w:t>为四川医保公共服务网上《药品和医用耗材招采管理系统》挂网的产品。</w:t>
            </w:r>
          </w:p>
        </w:tc>
        <w:tc>
          <w:tcPr>
            <w:tcW w:w="102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Style w:val="5"/>
                <w:rFonts w:hint="eastAsia" w:ascii="微软雅黑" w:hAnsi="微软雅黑" w:eastAsia="微软雅黑" w:cs="微软雅黑"/>
                <w:b/>
                <w:bCs/>
                <w:i w:val="0"/>
                <w:iCs w:val="0"/>
                <w:caps w:val="0"/>
                <w:color w:val="000000"/>
                <w:spacing w:val="0"/>
                <w:sz w:val="24"/>
                <w:szCs w:val="24"/>
                <w:bdr w:val="none" w:color="auto" w:sz="0" w:space="0"/>
              </w:rPr>
              <w:t>4</w:t>
            </w:r>
          </w:p>
        </w:tc>
        <w:tc>
          <w:tcPr>
            <w:tcW w:w="99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rPr>
              <w:t>结核分枝杆菌特异性细胞免疫反应检测试剂盒</w:t>
            </w:r>
          </w:p>
        </w:tc>
        <w:tc>
          <w:tcPr>
            <w:tcW w:w="45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rPr>
              <w:t>体外定性检测人新鲜外周静脉抗凝血中结核分枝杆菌感染引起的特异性T细胞免疫反应，用于结核病的辅助诊断。</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建议规格是20人份/盒。</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要求为价格不高于绵阳物价；相关试剂需在四川省内或市内三甲医院成熟使用的；可进行单人份快速测试，建议方法为胶体金法或荧光免疫层析法。</w:t>
            </w:r>
          </w:p>
        </w:tc>
        <w:tc>
          <w:tcPr>
            <w:tcW w:w="18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rPr>
              <w:t>为四川医保公共服务网上《药品和医用耗材招采管理系统》挂网的产品。</w:t>
            </w:r>
          </w:p>
        </w:tc>
        <w:tc>
          <w:tcPr>
            <w:tcW w:w="102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Style w:val="5"/>
                <w:rFonts w:hint="eastAsia" w:ascii="微软雅黑" w:hAnsi="微软雅黑" w:eastAsia="微软雅黑" w:cs="微软雅黑"/>
                <w:b/>
                <w:bCs/>
                <w:i w:val="0"/>
                <w:iCs w:val="0"/>
                <w:caps w:val="0"/>
                <w:color w:val="000000"/>
                <w:spacing w:val="0"/>
                <w:sz w:val="24"/>
                <w:szCs w:val="24"/>
                <w:bdr w:val="none" w:color="auto" w:sz="0" w:space="0"/>
              </w:rPr>
              <w:t>5</w:t>
            </w:r>
          </w:p>
        </w:tc>
        <w:tc>
          <w:tcPr>
            <w:tcW w:w="99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rPr>
              <w:t>运送培养基</w:t>
            </w:r>
          </w:p>
        </w:tc>
        <w:tc>
          <w:tcPr>
            <w:tcW w:w="45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rPr>
              <w:t>用于微生物标本的采集、运送和保护。适用于需氧菌和厌氧菌培养标本的保护运送；</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建议规格是50人份/盒。</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要求为价格不高于绵阳物价；相关试剂需在四川省内或市内三甲医院成熟使用的。</w:t>
            </w:r>
          </w:p>
        </w:tc>
        <w:tc>
          <w:tcPr>
            <w:tcW w:w="18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rPr>
              <w:t>为四川医保公共服务网上《药品和医用耗材招采管理系统》挂网的产品。</w:t>
            </w:r>
          </w:p>
        </w:tc>
        <w:tc>
          <w:tcPr>
            <w:tcW w:w="102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2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Style w:val="5"/>
                <w:rFonts w:hint="eastAsia" w:ascii="微软雅黑" w:hAnsi="微软雅黑" w:eastAsia="微软雅黑" w:cs="微软雅黑"/>
                <w:b/>
                <w:bCs/>
                <w:i w:val="0"/>
                <w:iCs w:val="0"/>
                <w:caps w:val="0"/>
                <w:color w:val="000000"/>
                <w:spacing w:val="0"/>
                <w:sz w:val="24"/>
                <w:szCs w:val="24"/>
                <w:bdr w:val="none" w:color="auto" w:sz="0" w:space="0"/>
              </w:rPr>
              <w:t>6</w:t>
            </w:r>
          </w:p>
        </w:tc>
        <w:tc>
          <w:tcPr>
            <w:tcW w:w="99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rPr>
              <w:t>血浆凝固酶试剂</w:t>
            </w:r>
          </w:p>
        </w:tc>
        <w:tc>
          <w:tcPr>
            <w:tcW w:w="45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rPr>
              <w:t>用于金黄色葡萄球菌的简略、快速鉴定；</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建议规格60测试/盒。</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要求为价格不高于绵阳物价；相关试剂需在四川省内或市内三甲医院成熟使用的。</w:t>
            </w:r>
          </w:p>
        </w:tc>
        <w:tc>
          <w:tcPr>
            <w:tcW w:w="18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rPr>
              <w:t>为四川医保公共服务网上《药品和医用耗材招采管理系统》挂网的产品。</w:t>
            </w:r>
          </w:p>
        </w:tc>
        <w:tc>
          <w:tcPr>
            <w:tcW w:w="102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05"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Style w:val="5"/>
                <w:rFonts w:hint="eastAsia" w:ascii="微软雅黑" w:hAnsi="微软雅黑" w:eastAsia="微软雅黑" w:cs="微软雅黑"/>
                <w:b/>
                <w:bCs/>
                <w:i w:val="0"/>
                <w:iCs w:val="0"/>
                <w:caps w:val="0"/>
                <w:color w:val="000000"/>
                <w:spacing w:val="0"/>
                <w:sz w:val="24"/>
                <w:szCs w:val="24"/>
                <w:bdr w:val="none" w:color="auto" w:sz="0" w:space="0"/>
              </w:rPr>
              <w:t>7</w:t>
            </w:r>
          </w:p>
        </w:tc>
        <w:tc>
          <w:tcPr>
            <w:tcW w:w="99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rPr>
              <w:t>肺炎支原体IgM抗体检测试剂盒</w:t>
            </w:r>
          </w:p>
        </w:tc>
        <w:tc>
          <w:tcPr>
            <w:tcW w:w="45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rPr>
              <w:t>满足门急诊儿科需求，1小时内出报告，用于临床肺炎支原体感染的辅助诊断。</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建议规格是</w:t>
            </w:r>
            <w:r>
              <w:rPr>
                <w:rFonts w:hint="eastAsia" w:ascii="微软雅黑" w:hAnsi="微软雅黑" w:eastAsia="微软雅黑" w:cs="微软雅黑"/>
                <w:i w:val="0"/>
                <w:iCs w:val="0"/>
                <w:caps w:val="0"/>
                <w:color w:val="000000"/>
                <w:spacing w:val="0"/>
                <w:sz w:val="19"/>
                <w:szCs w:val="19"/>
                <w:bdr w:val="none" w:color="auto" w:sz="0" w:space="0"/>
              </w:rPr>
              <w:t> </w:t>
            </w:r>
            <w:r>
              <w:rPr>
                <w:rFonts w:hint="eastAsia" w:ascii="微软雅黑" w:hAnsi="微软雅黑" w:eastAsia="微软雅黑" w:cs="微软雅黑"/>
                <w:i w:val="0"/>
                <w:iCs w:val="0"/>
                <w:caps w:val="0"/>
                <w:color w:val="000000"/>
                <w:spacing w:val="0"/>
                <w:sz w:val="24"/>
                <w:szCs w:val="24"/>
                <w:bdr w:val="none" w:color="auto" w:sz="0" w:space="0"/>
              </w:rPr>
              <w:t>20人份/盒。</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要求为价格不高于绵阳物价；相关试剂需在四川省内或市内三甲医院成熟使用的；方法为胶体金法；检测人全血中肺炎支原体IgM抗体；能提供主试剂开展检查所需所有配套试剂（质控品、校准品等）</w:t>
            </w:r>
          </w:p>
        </w:tc>
        <w:tc>
          <w:tcPr>
            <w:tcW w:w="18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rPr>
              <w:t>为四川医保公共服务网上《药品和医用耗材招采管理系统》挂网的产品。</w:t>
            </w:r>
          </w:p>
        </w:tc>
        <w:tc>
          <w:tcPr>
            <w:tcW w:w="102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Style w:val="5"/>
                <w:rFonts w:hint="eastAsia" w:ascii="微软雅黑" w:hAnsi="微软雅黑" w:eastAsia="微软雅黑" w:cs="微软雅黑"/>
                <w:b/>
                <w:bCs/>
                <w:i w:val="0"/>
                <w:iCs w:val="0"/>
                <w:caps w:val="0"/>
                <w:color w:val="000000"/>
                <w:spacing w:val="0"/>
                <w:sz w:val="24"/>
                <w:szCs w:val="24"/>
                <w:bdr w:val="none" w:color="auto" w:sz="0" w:space="0"/>
              </w:rPr>
              <w:t>8</w:t>
            </w:r>
          </w:p>
        </w:tc>
        <w:tc>
          <w:tcPr>
            <w:tcW w:w="99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rPr>
              <w:t>胰岛素样生长因子</w:t>
            </w:r>
          </w:p>
        </w:tc>
        <w:tc>
          <w:tcPr>
            <w:tcW w:w="45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rPr>
              <w:t>用于生长评估，巨人症及肢端肥大症治疗监测的指标。</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建议规格是</w:t>
            </w:r>
            <w:r>
              <w:rPr>
                <w:rFonts w:hint="eastAsia" w:ascii="微软雅黑" w:hAnsi="微软雅黑" w:eastAsia="微软雅黑" w:cs="微软雅黑"/>
                <w:i w:val="0"/>
                <w:iCs w:val="0"/>
                <w:caps w:val="0"/>
                <w:color w:val="000000"/>
                <w:spacing w:val="0"/>
                <w:sz w:val="19"/>
                <w:szCs w:val="19"/>
                <w:bdr w:val="none" w:color="auto" w:sz="0" w:space="0"/>
              </w:rPr>
              <w:t> </w:t>
            </w:r>
            <w:r>
              <w:rPr>
                <w:rFonts w:hint="eastAsia" w:ascii="微软雅黑" w:hAnsi="微软雅黑" w:eastAsia="微软雅黑" w:cs="微软雅黑"/>
                <w:i w:val="0"/>
                <w:iCs w:val="0"/>
                <w:caps w:val="0"/>
                <w:color w:val="000000"/>
                <w:spacing w:val="0"/>
                <w:sz w:val="24"/>
                <w:szCs w:val="24"/>
                <w:bdr w:val="none" w:color="auto" w:sz="0" w:space="0"/>
              </w:rPr>
              <w:t>100测试/盒。</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要求为价格不高于绵阳物价；相关试剂需在四川省内或市内三甲医院成熟使用的；能提供主试剂开展检查所需所有配套试剂（质控品、校准品等）</w:t>
            </w:r>
          </w:p>
        </w:tc>
        <w:tc>
          <w:tcPr>
            <w:tcW w:w="18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rPr>
              <w:t>为四川医保公共服务网上《药品和医用耗材招采管理系统》挂网的产品。</w:t>
            </w:r>
          </w:p>
        </w:tc>
        <w:tc>
          <w:tcPr>
            <w:tcW w:w="102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Style w:val="5"/>
                <w:rFonts w:hint="eastAsia" w:ascii="微软雅黑" w:hAnsi="微软雅黑" w:eastAsia="微软雅黑" w:cs="微软雅黑"/>
                <w:b/>
                <w:bCs/>
                <w:i w:val="0"/>
                <w:iCs w:val="0"/>
                <w:caps w:val="0"/>
                <w:color w:val="000000"/>
                <w:spacing w:val="0"/>
                <w:sz w:val="24"/>
                <w:szCs w:val="24"/>
                <w:bdr w:val="none" w:color="auto" w:sz="0" w:space="0"/>
              </w:rPr>
              <w:t>9</w:t>
            </w:r>
          </w:p>
        </w:tc>
        <w:tc>
          <w:tcPr>
            <w:tcW w:w="99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rPr>
              <w:t>CYP2C19基因突变检测</w:t>
            </w:r>
          </w:p>
        </w:tc>
        <w:tc>
          <w:tcPr>
            <w:tcW w:w="45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rPr>
              <w:t>患者CYP2C19基因636和681位点G＞A的突变情况，用于检测其编码的细胞色素酶对临床常用药物氯吡格雷的代谢能力和清除速率。</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建议规格是</w:t>
            </w:r>
            <w:r>
              <w:rPr>
                <w:rFonts w:hint="eastAsia" w:ascii="微软雅黑" w:hAnsi="微软雅黑" w:eastAsia="微软雅黑" w:cs="微软雅黑"/>
                <w:i w:val="0"/>
                <w:iCs w:val="0"/>
                <w:caps w:val="0"/>
                <w:color w:val="000000"/>
                <w:spacing w:val="0"/>
                <w:sz w:val="19"/>
                <w:szCs w:val="19"/>
                <w:bdr w:val="none" w:color="auto" w:sz="0" w:space="0"/>
              </w:rPr>
              <w:t> </w:t>
            </w:r>
            <w:r>
              <w:rPr>
                <w:rFonts w:hint="eastAsia" w:ascii="微软雅黑" w:hAnsi="微软雅黑" w:eastAsia="微软雅黑" w:cs="微软雅黑"/>
                <w:i w:val="0"/>
                <w:iCs w:val="0"/>
                <w:caps w:val="0"/>
                <w:color w:val="000000"/>
                <w:spacing w:val="0"/>
                <w:sz w:val="24"/>
                <w:szCs w:val="24"/>
                <w:bdr w:val="none" w:color="auto" w:sz="0" w:space="0"/>
              </w:rPr>
              <w:t>20测试/盒。</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要求为价格不高于绵阳物价；相关试剂需在四川省内或市内三甲医院成熟使用的。</w:t>
            </w:r>
          </w:p>
        </w:tc>
        <w:tc>
          <w:tcPr>
            <w:tcW w:w="18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rPr>
              <w:t>为四川医保公共服务网上《药品和医用耗材招采管理系统》挂网的产品。</w:t>
            </w:r>
          </w:p>
        </w:tc>
        <w:tc>
          <w:tcPr>
            <w:tcW w:w="102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0" w:hRule="atLeast"/>
        </w:trPr>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Style w:val="5"/>
                <w:rFonts w:hint="eastAsia" w:ascii="微软雅黑" w:hAnsi="微软雅黑" w:eastAsia="微软雅黑" w:cs="微软雅黑"/>
                <w:b/>
                <w:bCs/>
                <w:i w:val="0"/>
                <w:iCs w:val="0"/>
                <w:caps w:val="0"/>
                <w:color w:val="000000"/>
                <w:spacing w:val="0"/>
                <w:sz w:val="24"/>
                <w:szCs w:val="24"/>
                <w:bdr w:val="none" w:color="auto" w:sz="0" w:space="0"/>
              </w:rPr>
              <w:t>10</w:t>
            </w:r>
          </w:p>
        </w:tc>
        <w:tc>
          <w:tcPr>
            <w:tcW w:w="99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rPr>
              <w:t>乙型肝炎病毒核酸测定试剂（PCR-荧光探针法）</w:t>
            </w:r>
          </w:p>
        </w:tc>
        <w:tc>
          <w:tcPr>
            <w:tcW w:w="45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rPr>
              <w:t>用于体外高精度乙型肝炎病毒核酸测定，辅助乙肝诊疗。</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建议规格是≦48人份/盒。</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要求为价格不高于绵阳物价；相关试剂需在四川省内或市内三甲医院成熟使用的；在现有平台上使用；方法为PCR荧光探针法；试剂有效期≧12个月;能提供主试剂开展检查所需所有配套试剂（质控品、校准品等）</w:t>
            </w:r>
          </w:p>
        </w:tc>
        <w:tc>
          <w:tcPr>
            <w:tcW w:w="18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rPr>
              <w:t>为四川医保公共服务网上《药品和医用耗材招采管理系统》挂网的产品。</w:t>
            </w:r>
          </w:p>
        </w:tc>
        <w:tc>
          <w:tcPr>
            <w:tcW w:w="102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rPr>
              <w:t>检验科</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YjY5YThlZWU4ZThkODYzNmU3OWJhZjgwOWI3YTIifQ=="/>
  </w:docVars>
  <w:rsids>
    <w:rsidRoot w:val="560A0B12"/>
    <w:rsid w:val="560A0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2024-04-23T08:57:00Z</dcterms:created>
  <dc:creator>lux</dc:creator>
  <cp:lastModifiedBy>lux</cp:lastModifiedBy>
  <dcterms:modified xsi:type="dcterms:W3CDTF">2024-04-23T08:57:48Z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43D7ECC96F9F4099913DAF186737DBD6_11</vt:lpwstr>
  </property>
</Properties>
</file>